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A0AEF" w:rsidRPr="005A0AEF" w:rsidTr="005A0AEF">
        <w:trPr>
          <w:tblCellSpacing w:w="15" w:type="dxa"/>
        </w:trPr>
        <w:tc>
          <w:tcPr>
            <w:tcW w:w="0" w:type="auto"/>
            <w:hideMark/>
          </w:tcPr>
          <w:p w:rsidR="008D2BF0" w:rsidRDefault="005A0AEF" w:rsidP="008D2B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Tisztelt Érdeklődő!</w:t>
            </w:r>
            <w:r w:rsidR="00DC2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5A0AEF" w:rsidRPr="005A0AEF" w:rsidRDefault="008D2BF0" w:rsidP="008D2B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Ha </w:t>
            </w:r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Önnek elhunyt a hozzátartozója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vagy más miatt érintett -, </w:t>
            </w:r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és tanácstalan az ezzel kapcsolatos hatósági eljárásokat illetően, e honlap keretei között reméljük hasznos információkkal szolgálunk.</w:t>
            </w:r>
          </w:p>
          <w:p w:rsidR="005A0AEF" w:rsidRPr="005A0AEF" w:rsidRDefault="005A0AEF" w:rsidP="00D31EE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Köszönjük a bizalmát, és fogadja részvétünket hozzátartozója halála miatt!</w:t>
            </w:r>
          </w:p>
          <w:p w:rsidR="00D31EEC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1. Eljárás ismertetése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A0AEF" w:rsidRPr="005A0AEF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   hagyatéki eljárás a meghalt személy  vagyonában történő jogutódlást  állapítja meg   és igazolja. Az eljárás célja, hogy az örökléssel kapcsolatos valamennyi kérdés jogvita nélkül rendeződjék, és ehhez az érdekeltek a kellő tájékoztatást megkapják.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hagyatéki leltár felvétele során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bizonyítási eljárás lefolytatásának, illetve öröklési jogvita eldöntésének helye nincs.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hivatalunk eljárása a hagyaték átadásához szükséges adatfelvételre, illetve a tényállás tisztázására vonatkozik.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meghalt személy hagyatéki ügyeinek lefolytatására  elsősorban - az elhunyt utolsó lakóhelye szerinti polgármesteri hivatal jegyzője és az illetékes közjegyző jogosult.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Az eljárás megindítása, folyamata: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hagyatéki eljárás hivatalból indul 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bizonyítvány beérkezésével,  de indulhat kérelmére is (pót).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bizonyítványon megjelölt hozzátartozót az ügyintéző értesíti az eljárás megindulásáról, és ezzel egyidejűleg tájékoztatja az ezzel kapcsolatos teendőiről.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hagyatékkal kapcsolatos nyilatkozatot, illetve a leltár felvételéhez szükséges adatokat elsősorban a kiértesített hozzátartozónak kell szolgáltatnia, de bármelyik öröklésben érdekelt nyilatkozatot tehet. Nyilatkozatot annak a hozzátartozónak célszerű tennie, aki a legtöbb adattal, ténnyel rendelkezik a többi öröklésre jogosultakról és a hagyatéki vagyonról.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tényállás tisztázása és a szükséges adatok beszerzése (tulajdoni lap, ingatlan értékelés stb.) után kerül sor a leltár felvételére, ezt követően a teljes iratanyag továbbításra kerül a 15/1991. (XI.26.) IM rendelet szerinti illetékes közjegyzőhöz.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közjegyző intézkedéseket tesz a tárgyalás előkészítésére, majd kitűzi az időpontot - ha az ügy alkalmas a tárgyalásra-, melyről minden öröklésben érdekeltet írásban (tértivevényes levél) értesít.</w:t>
            </w:r>
          </w:p>
          <w:p w:rsidR="005A0AEF" w:rsidRPr="005A0AEF" w:rsidRDefault="005A0AEF" w:rsidP="005A0A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hagyatéki tárgyalás után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hagyatékátadó végzés jogerőre emelkedését követően-  van lehetőség a hagyatéki vagyon tulajdonjogi rendezésére.</w:t>
            </w:r>
          </w:p>
          <w:p w:rsidR="00D31EEC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 az örökhagyó után ingatlan, vagy leltározási kötelezettség alá eső vagyontárgy nem maradt, a nyilatkozattétel akkor is kötelező az eljárás lezárása végett.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 hagyaték megállapítása és az örökösök részére történő átadása a közjegyző hatásköre.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 hagyatéki leltár felvétel nem illeték,- és nem díjköteles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A0AEF" w:rsidRPr="005A0AEF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 hagyatékot leltározni kell, ha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elhaltnak: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belföldön fekvő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ingatlan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(lakás, garázs, föld, kert, telek, stb.) tulajdoni hányada van;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belföldi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cégjegyzékbe bejegyzett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társaságban, illetve szövetkezetben fennálló tagi (részvényesi) részesedése van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lajstromozott vagyontárgya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van (olyan ingó dolog vagy jog, melynek meglétét közhiteles nyilvántartás igazolja) pl.: engedélyhez kötött gépjármű; lőfegyver; védett műalkotás; egyéb;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 tartoznak ide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bankok, pénzintézetek, biztosítók nyilvántartásai, az azokban fellelhető vagyon kérelemre leltározható.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törvényben megállapított öröklési illetékmentes értéket (jelenleg 300.000,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-Ft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/örökös) meghaladó értékű ingó vagyona.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az öröklésben érdekeltek között méhmagzat; vagy cselekvőképtelen; vagy korlátozottan cselekvőképes; vagy ismeretlen helyen lévő személy, akinek az öröklési érdeke veszélyeztetve van;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az örökhagyó halálakor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-aktív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hivatását gyakorló-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közjegyző, ügyvéd, önálló bírósági végrehajtó, igazságügyi szakértő, gyám vagy gondnok volt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 az öröklésben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érdekelt(</w:t>
            </w:r>
            <w:proofErr w:type="spellStart"/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indokolt kérelmére.</w:t>
            </w:r>
          </w:p>
          <w:p w:rsidR="005A0AEF" w:rsidRPr="005A0AEF" w:rsidRDefault="005A0AEF" w:rsidP="005A0A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Hagyatéki vagyon hiányában, ha az örökösöknek kizárólag az örökösi minőségük igazolására van szükségük,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öröklési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bizonyítvány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kiállítására kerülhet sor.</w:t>
            </w:r>
          </w:p>
          <w:p w:rsidR="005A0AEF" w:rsidRPr="005A0AEF" w:rsidRDefault="005A0AEF" w:rsidP="005A0A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öröklési bizonyítvány kiállítása olyan helyzetek kezelésére szolgál, amikor leltározandó vagyon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a.)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hagyatékhoz tartozó ingóság értéke jelenleg az örökösönkénti 300.000,- Ft-ot nem éri 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b.) a hagyatéki vagyon értéke nem állapítható meg, vagy nincs hagyatéki vagyon, de az örökös vagy más érdekelt az eljárás lefolytatásához fűződő jogi érdekét valószínűsíti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c.) csak az örökhagyót megillető társadalombiztosítási ellátás (nyugdíj, segély, járadék stb.) a hagyaték tárgya,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d.) amennyiben a hagyaték tárgya kizárólag külföldi ingatlan, vagy olyan külföldön lévő ingóság, melynek átadására vonatkozóan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közjegyzőnek nincs joghatósága.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Hagyatéki eljárás lefolytatásának nincs helye, amennyiben:</w:t>
            </w:r>
          </w:p>
          <w:p w:rsidR="005A0AEF" w:rsidRPr="005A0AEF" w:rsidRDefault="005A0AEF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nincs hagyatéki vagyon - és öröklési bizonyítvány kiállítását sem kérték–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„vagyontárgy” kifejezés szorosan értelmezendő, csupán aktívumról lehet szó, vagyontárgyon nem értelmezendők kötelezettségek, hagyatéki tartozások.</w:t>
            </w:r>
          </w:p>
          <w:p w:rsidR="005A0AEF" w:rsidRPr="005A0AEF" w:rsidRDefault="005A0AEF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elhunytnak tulajdoni joga nincs, csak özvegyi joga, tartási joga, vagy haszonélvezeti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joga van bejegyezve bármely ingatlan tulajdoni lapjára, a bejegyzést a haláleset tényének igazolásával, az illetékes földhivatalnál a tulajdonos töröltetheti.</w:t>
            </w:r>
          </w:p>
          <w:p w:rsidR="00D31EEC" w:rsidRDefault="005A0AEF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elhunyt önkormányzati lakás főbérlője volt, a lakás kiürítésével, illetve a bérleti jogviszony folytatásával kapcsolatosan az érintett lakás üzemeltetőjét kell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felkeresnie </w:t>
            </w:r>
            <w:r w:rsidR="00D31E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  <w:p w:rsidR="005A0AEF" w:rsidRPr="005A0AEF" w:rsidRDefault="00D31EEC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elhunyt a haláleset hónapjában esedékes nyugdíját nem vette át, és van vele azonos lakcímen lakó, közös háztartásban élt házastársa, egyenes ági rokona, aki közvetlenül a Nyugdíjfolyósító Igazgatóságtól – 1820 Budapest – kérheti a járandóság kifizetését.</w:t>
            </w:r>
          </w:p>
          <w:p w:rsidR="005A0AEF" w:rsidRPr="005A0AEF" w:rsidRDefault="005A0AEF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elhunyt értéktől függetlenül olyan számlával, betéttel, biztosítással rendelkezett melyre haláleseti kedvezményezett került megjelölésre, a megjelölt kedvezményezett az adott pénzintézetnél vagy biztosítónál személyesen eljárhat.</w:t>
            </w:r>
          </w:p>
          <w:p w:rsidR="005A0AEF" w:rsidRPr="005A0AEF" w:rsidRDefault="005A0AEF" w:rsidP="005A0A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elhunyt csak személyes használati tárgyakkal és ruhaneműkkel rendelkezett.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 Póthagyatéki eljárás</w:t>
            </w:r>
          </w:p>
          <w:p w:rsidR="005A0AEF" w:rsidRPr="005A0AEF" w:rsidRDefault="005A0AEF" w:rsidP="005A0A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Póthagyatéki eljárás lefolytatására akkor kerülhet sor, ha már volt hagyatéki eljárás, és annak befejezése után kerül elő olyan vagyontárgy, amely hagyatéki eljárás tárgya még nem volt. A „vagyontárgy” kifejezés szorosan értelmezendő, csupán aktívumról lehet szó. Vagyontárgyon nem értelmezendők kötelezettségek, hagyatéki tartozások. Nincs helye póthagyatéki eljárás lefolytatásának elszámolásra, hitelezői igényre,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kötelesrész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igényre stb.</w:t>
            </w:r>
          </w:p>
          <w:p w:rsidR="005A0AEF" w:rsidRPr="005A0AEF" w:rsidRDefault="005A0AEF" w:rsidP="005A0A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póthagyaték, eljárás tekintetében megegyezik az alap hagyatékra vonatkozó eljárással. Azzal a különbséggel: csak kérelemre indul, és ebben az esetben a kezdeményező félnek igazolnia kell a halálozás tényét, a hagyatéki vagyon meglétét, illetve az eljárás lefolytatásához fűződő jogos érdekét valószínűsíteni köteles.</w:t>
            </w:r>
          </w:p>
          <w:p w:rsidR="005A0AEF" w:rsidRPr="005A0AEF" w:rsidRDefault="005A0AEF" w:rsidP="005A0A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póthagyatéki eljárást a hagyatéki eljárás megindítására jogosultak kérhetik, illetve az eljáráshoz szükséges adatokat a kérelmező kötelezettsége szolgáltatni.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Eljáráshoz szükséges dokumentumok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Felhívjuk figyelmét, hogy az eljárást a hozzátartozó nyilatkozata alapján folytatjuk le!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Kérjük, amennyiben kéri az eljárás lefolytatását, akkor az I. számú nyilatkozatot; amennyiben nem kéri az eljárás lefolytatását, akkor a II. számú nemleges nyilatkozatot (az abban megjelölt mellékletekkel) juttassa vissza kitöltve.</w:t>
            </w:r>
          </w:p>
          <w:p w:rsidR="005A0AEF" w:rsidRPr="005A0AEF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 hagyatéki eljárások kitöltendő dokumentumai:</w:t>
            </w:r>
          </w:p>
          <w:p w:rsidR="005A0AEF" w:rsidRPr="00D31EEC" w:rsidRDefault="009F4F5F" w:rsidP="005A0A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</w:pPr>
            <w:hyperlink r:id="rId6" w:history="1">
              <w:r w:rsidR="005A0AEF" w:rsidRPr="00D31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hu-HU"/>
                </w:rPr>
                <w:t>Rövid tájékoztató</w:t>
              </w:r>
            </w:hyperlink>
            <w:r w:rsidR="00D31EEC" w:rsidRPr="00D31E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 xml:space="preserve">        </w:t>
            </w:r>
            <w:r w:rsidR="003A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           </w:t>
            </w:r>
          </w:p>
          <w:p w:rsidR="005A0AEF" w:rsidRPr="001241CA" w:rsidRDefault="001241CA" w:rsidP="005A0A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begin"/>
            </w:r>
            <w:r w:rsidR="00A23C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instrText>HYPERLINK "http://racalmas.hu/wp/wp-content/uploads/2018/02/hagyateki_nyilatkozat.pdf" \t "_blank"</w:instrText>
            </w:r>
            <w:r w:rsidR="00A23C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separate"/>
            </w:r>
            <w:r w:rsidR="005A0AEF" w:rsidRPr="001241CA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Nyilatkozat</w:t>
            </w:r>
          </w:p>
          <w:p w:rsidR="005A0AEF" w:rsidRPr="003A4710" w:rsidRDefault="001241CA" w:rsidP="005A0A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end"/>
            </w:r>
            <w:r w:rsidR="003A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begin"/>
            </w:r>
            <w:r w:rsidR="00A23C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instrText>HYPERLINK "http://racalmas.hu/wp/wp-content/uploads/2018/02/nemleges_nyilatkozat.pdf" \t "_blank"</w:instrText>
            </w:r>
            <w:r w:rsidR="00A23C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r>
            <w:r w:rsidR="003A471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separate"/>
            </w:r>
            <w:r w:rsidR="005A0AEF" w:rsidRPr="003A4710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Nemleges nyilatkozat</w:t>
            </w:r>
          </w:p>
          <w:p w:rsidR="005A0AEF" w:rsidRPr="005A0AEF" w:rsidRDefault="003A4710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fldChar w:fldCharType="end"/>
            </w:r>
            <w:bookmarkStart w:id="0" w:name="_GoBack"/>
            <w:bookmarkEnd w:id="0"/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A nyilatkozatok számítógéppel kitölthetőek, de jelenleg elektronikusan nem beküldhetők!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Fontos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!!!</w:t>
            </w:r>
            <w:proofErr w:type="gramEnd"/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 nyilatkozatban szereplő adatok igazolására vonatkozó csatolandó dokumentumok: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örökhagyó halotti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anyakönyvi kivonat 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másolata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póthagyaték esetén a korábbi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hagyatékátadó végzés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másolata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amennyiben az örökhagyó halálakor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-aktív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hivatását gyakorló- közjegyző, ügyvéd, önálló bírósági végrehajtó, igazságügyi szakértő, gyám vagy gondnok volt az erre vonatkozó igazolás másolata (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kamarai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tag nyilvántartás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 gyámhatósági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határozat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törvényes képviselő adatai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ha kiskorú, gondnokolt, ismeretlen helyen lévő érdekelt van az öröklésre jogosultak között (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gyámhatósági határozat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);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 méhmagzat érdekelt van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az erre vonatkozó igazolások;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végintézkedés 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esetén a végrendelet, öröklési -, ajándékozási szerződés másolata - pénz- és hitelintézettel szemben fennálló követelésre vonatkozó igazolás másolata (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számlakivonat, kötvénymásolat, értékpapír másolata, takarékbetétkönyv másolata, szerződés elszámolás másolata stb.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biztosításból 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eredő követelésből eredő igazolások (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kötvény másolat, díjközlő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másolat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MVH regisztráció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ból adódó követelésre vonatkozó igazolások (regisztrációs lap, támogatás igénylésére, vagy odaítélésére vonatkozó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dokumentumok 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stb.)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pénztári tagságból eredő követelés igazolása: lakás-takarék, magánnyugdíj, egészség biztosítás stb. (tagi értesítő, egyenlegközlő stb.)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gazdasági társaságban, vállalkozásban tagság, érdekeltség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cégkivonat, alapító okirat másolat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); Nyilatkozat arra vonatkozóan, szükségesnek ítéli-e hagyatéki ügygondnok bevonását az eljárásba;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hatósági nyilvántartásban szereplő jármű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(személygépkocsi, motorkerékpár, motorcsónak, hajó, mezőgazdasági haszongép stb.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u-HU"/>
              </w:rPr>
              <w:t>forgalmi engedély másolata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egyéb nyilvántartásban szereplő vagyontárgy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(pl. marhalevél; lőfegyver, műkincs; védett műalkotás stb.) </w:t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ezek meglétét igazoló dokumentum másolata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örökhagyót még megillető járandóságokra vonatkozó igazolások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((nyugdíjas törzsszám; munkáltatói letéti igazolás; megállapító határozat; levél, stb.)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életvitelszerűen külföldön tartózkodó öröklésben érdekelt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magyarországi kézbesítés-megbízói meghatalmazása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jogi képviselet esetén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ügyvédi meghatalmazás</w:t>
            </w:r>
          </w:p>
          <w:p w:rsidR="005A0AEF" w:rsidRPr="005A0AEF" w:rsidRDefault="005A0AEF" w:rsidP="005A0AE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hitelezői igény bejelentés és egyéb tartozásokra vonatkozó dokumentumok másolata</w:t>
            </w:r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(temetési számla, hitel- vagy pénzintézeti szerződés vagy kimutatás, elszámolás, nyilatkozat, nyilvántartáson kívüli tulajdonjogi igényt megalapozó irat (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pl.adásvételi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szerződés), házassági vagyonközösségi igény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esetén( pl.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házassági anyakönyvi kivonat), egyéb tartozásokra vonatkozó igénybejelentés vagy iratok másolata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4. Eljárási illetékek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hagyatéki leltár felvétel nem illeték,- és nem díjköteles.</w:t>
            </w:r>
          </w:p>
          <w:p w:rsidR="00D31EEC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5. Ügyintézés: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Az ügyintézés helye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: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D31EEC" w:rsidRPr="00D31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Rácalmás </w:t>
            </w:r>
            <w:r w:rsidRP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Város</w:t>
            </w:r>
            <w:proofErr w:type="gramEnd"/>
            <w:r w:rsidRP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Polgármesteri Hivatal</w:t>
            </w:r>
            <w:r w:rsidRP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Rácalmás , Szigetfő u. 11-13.    15. szoba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Levelezési címe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proofErr w:type="gramStart"/>
            <w:r w:rsid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Rácalmás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Város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Polgármesteri Hivatal </w:t>
            </w:r>
            <w:r w:rsid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2459  Rácalmás  Szigetfő u. 11-13.</w:t>
            </w:r>
          </w:p>
          <w:p w:rsidR="00D31EEC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Telefon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(</w:t>
            </w:r>
            <w:r w:rsid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</w:t>
            </w:r>
            <w:r w:rsidR="00D31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517-852 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Ügyintéző:</w:t>
            </w:r>
          </w:p>
          <w:p w:rsidR="005A0AEF" w:rsidRPr="005A0AEF" w:rsidRDefault="00D31EEC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Krausz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Zsuzsanna  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gramEnd"/>
            <w:r w:rsidR="005B538C">
              <w:fldChar w:fldCharType="begin"/>
            </w:r>
            <w:r w:rsidR="005B538C">
              <w:instrText xml:space="preserve"> HYPERLINK "mailto:aljegyzo@racalmas.hu" </w:instrText>
            </w:r>
            <w:r w:rsidR="005B538C">
              <w:fldChar w:fldCharType="separate"/>
            </w:r>
            <w:r w:rsidRPr="00094583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aljegyzo@racalmas.hu</w:t>
            </w:r>
            <w:r w:rsidR="005B538C">
              <w:rPr>
                <w:rStyle w:val="Hiper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)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Ügyfélfogadási idő: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hétfő: 8-12 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8-12 és 13-1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8-12 óra között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ügyintézés ideje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az ügy bonyolultságától függően (</w:t>
            </w:r>
            <w:r w:rsidR="005A0AEF"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 perctől akár 1,5 óráig is eltarthat</w:t>
            </w:r>
            <w:r w:rsidR="005A0AEF"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5A0AEF" w:rsidRPr="005A0AEF" w:rsidRDefault="009F4F5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A0AEF" w:rsidRPr="005A0AEF" w:rsidRDefault="005A0AEF" w:rsidP="005A0A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Comic Sans MS" w:eastAsia="Times New Roman" w:hAnsi="Comic Sans MS" w:cs="Times New Roman"/>
                <w:sz w:val="48"/>
                <w:szCs w:val="48"/>
                <w:lang w:eastAsia="hu-HU"/>
              </w:rPr>
              <w:t>Gy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akran </w:t>
            </w:r>
            <w:r w:rsidRPr="005A0AEF">
              <w:rPr>
                <w:rFonts w:ascii="Comic Sans MS" w:eastAsia="Times New Roman" w:hAnsi="Comic Sans MS" w:cs="Times New Roman"/>
                <w:sz w:val="48"/>
                <w:szCs w:val="48"/>
                <w:lang w:eastAsia="hu-HU"/>
              </w:rPr>
              <w:t>I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smételt </w:t>
            </w:r>
            <w:r w:rsidRPr="005A0AEF">
              <w:rPr>
                <w:rFonts w:ascii="Comic Sans MS" w:eastAsia="Times New Roman" w:hAnsi="Comic Sans MS" w:cs="Times New Roman"/>
                <w:sz w:val="48"/>
                <w:szCs w:val="48"/>
                <w:lang w:eastAsia="hu-HU"/>
              </w:rPr>
              <w:t>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érdések</w:t>
            </w:r>
          </w:p>
          <w:p w:rsidR="005A0AEF" w:rsidRPr="005A0AEF" w:rsidRDefault="005A0AEF" w:rsidP="005A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1. Mi vár még ránk hozzátartozónk halála után?</w:t>
            </w:r>
          </w:p>
          <w:p w:rsidR="005A0AEF" w:rsidRPr="005A0AEF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hozzátartozónk elvesztése miatt érzett fájdalmunkban és gyászunkban szembesülnünk kell azzal a ténnyel, hogy nekünk kell az elhalt életútjának lezárásában közreműködni.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lezárás főbb szakaszai: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halál tényének megállapítása (orvos, halottkém, bírói út)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halál anyakönyvezése a halál helye szerinti önkormányzatnál, vagy hazai anyakönyvezés külföldön elhaltak tekintetében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temetési szertartás intézése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hagyatéki eljárás (az elhalt vagy a saját lakóhely szerint illetékes önkormányzati hivatalnál)</w:t>
            </w:r>
          </w:p>
          <w:p w:rsidR="005A0AEF" w:rsidRPr="005A0AEF" w:rsidRDefault="005A0AEF" w:rsidP="005A0A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szükséges ‐ közjegyzői eljárás az elhalt lakóhelye szerint illetékes közjegyzőnél.</w:t>
            </w:r>
          </w:p>
          <w:p w:rsidR="005A0AEF" w:rsidRPr="005A0AEF" w:rsidRDefault="005A0AEF" w:rsidP="005A0A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Fontos lehet: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haláleset (nem csak a temetés) kapcsán felmerült számlával igazolt költségek hagyatéki tehernek minősülnek, és csökkenti az illetékalapot.</w:t>
            </w:r>
          </w:p>
          <w:p w:rsidR="005A0AEF" w:rsidRPr="005A0AEF" w:rsidRDefault="005A0AEF" w:rsidP="005A0A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2. Ki indítja az eljárást?</w:t>
            </w:r>
          </w:p>
          <w:p w:rsidR="005A0AEF" w:rsidRPr="005A0AEF" w:rsidRDefault="005A0AEF" w:rsidP="005A0A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Hivatalból indul - a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halál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mint természetes esemény bekövetkezése esetén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halottvizsgálatot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végző orvos köteles a halál helye szerinti önkormányzat jegyzője nevében eljáró anyakönyvvezetőnek 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bizonyítvány két példányával bejelenteni. A haláleset anyakönyvezése után, az anyakönyvvezető 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bizonyítvány hagyatéki példányát továbbítja az elhalt utolsó bejelentett állandó lakcíme szerinti önkormányzat jegyzője nevében eljáró hagyatéki ügyintézőnek. Ő 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bizonyítványon megjelölt hozzátartozónak 30 napon belül értesítést küld.</w:t>
            </w:r>
          </w:p>
          <w:p w:rsidR="005A0AEF" w:rsidRPr="005A0AEF" w:rsidRDefault="005A0AEF" w:rsidP="005A0A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Kérelemre indul - a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halál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mint jogi tény esetén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a hagyatéki eljárás megindítását az is kezdeményezheti akinek az eljárás megindításához jogi érdeke fűződik, ezt a jogi érdekét viszont valószínűsíteni, illetve a halál tényét anyakönyvi kivonattal, vagy holtnak nyilvánító végzéssel, vagy a halál tényét megállapító bírói határozattal igazolni köteles.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3. Melyik polgármesteri hivatal illetve jegyző az illetékes?</w:t>
            </w:r>
          </w:p>
          <w:p w:rsidR="005A0AEF" w:rsidRPr="005A0AEF" w:rsidRDefault="005A0AEF" w:rsidP="005A0A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illetékesség kérdését az ügyintéző hivatalból vizsgálja.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általános elv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belföldi hagyaték leltározása iránt 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meghalt személy utolsó belföldi lakóhelye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ha pedig belföldön lakóhelye nem volt, vagy az nem állapítható meg, belföldi elhalálozásának helye, ezek hiányában a hagyatéki vagyon fekvésének helye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szerint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illetékes önkormányzat jegyzője intézkedik.</w:t>
            </w:r>
          </w:p>
          <w:p w:rsidR="005A0AEF" w:rsidRPr="005A0AEF" w:rsidRDefault="005A0AEF" w:rsidP="005A0A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eljárás megindítására illetékes lehet még a hozzátartozó lakóhelye szerinti önkormányzat jegyzője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azzal a kikötéssel, hogy azt köteles továbbítani a teljes eljárás lefolytatására illetékes hivatalnak.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4. Mi a helyzet, ha az elhalt külföldi vagy kettős állampolgár?</w:t>
            </w:r>
          </w:p>
          <w:p w:rsidR="005A0AEF" w:rsidRPr="005A0AEF" w:rsidRDefault="005A0AEF" w:rsidP="005A0A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Amennyiben a hagyatéki ügynek nemzetközi vonatkozása van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elsődlegesen 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joghatóság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kérdésében kell állást foglalni. Azt, hogy a konkrét ügyben magyar közjegyző eljárhat-e, a joghatóság szabályozási szintjeinek megfelelően nemzetközi szerződések (viszonossági gyakorlat), illetve a hazai jog (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Nmjtvr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alapján kell eldönteni. Ha az örökhagyó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augusztus 17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-én vagy azt követően hunyt el, az európai uniós tagállamban szokásos tartózkodási hellyel rendelkező örökhagyó utáni öröklésre pedig az új EU Öröklési-R. joghatósági szabályai az irányadóak.</w:t>
            </w:r>
          </w:p>
          <w:p w:rsidR="005A0AEF" w:rsidRPr="005A0AEF" w:rsidRDefault="005A0AEF" w:rsidP="005A0A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Öröklési bizonyítvány igényléséhez formanyomtatvány vagy azzal azonos adattartalmú kérelem szükséges.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(1329/2014/EU végrehajtási rendelet 4. számú melléklet)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5. Mi a helyzet, ha magyar állampolgár külföldön halálozik el?</w:t>
            </w:r>
          </w:p>
          <w:p w:rsidR="005A0AEF" w:rsidRPr="005A0AEF" w:rsidRDefault="005A0AEF" w:rsidP="005A0A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állampolgár külföldön bekövetkezett halálát Magyarországon is anyakönyveztetni kell –ezt nevezik Hazai anyakönyvezésnek.</w:t>
            </w:r>
          </w:p>
          <w:p w:rsidR="005A0AEF" w:rsidRPr="005A0AEF" w:rsidRDefault="005A0AEF" w:rsidP="005A0A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hazai anyakönyvezést az illetékes konzuli képviseleten, illetőleg a lakóhely szerint illetékes anyakönyvvezetőnél kell kérni.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6. Miért én kaptam értesítést vagy idézést? A többiek miért nem kaptak?</w:t>
            </w:r>
          </w:p>
          <w:p w:rsidR="005A0AEF" w:rsidRPr="005A0AEF" w:rsidRDefault="005A0AEF" w:rsidP="005A0A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Mert a hatóság előtt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csak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halottvizsgálati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bizonyítványon megjelölt hozzátartozó ismert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továbbá a hagyatékkal kapcsolatos meghallgatáshoz/adatszolgáltatáshoz 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 hozzátartozó megjelenése elegendő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de a jogszabály nem zárja ki, több hozzátartozó nyilatkozattételét.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7. Mi a teendő, ha nem én vagyok az, aki érdemben nyilatkozni tud?</w:t>
            </w:r>
          </w:p>
          <w:p w:rsidR="005A0AEF" w:rsidRPr="005A0AEF" w:rsidRDefault="005A0AEF" w:rsidP="005A0A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 lehetőség van. Az egyik, hogy átadja a megkeresésünket az arra illetékes hozzátartozónak, vagy jelzi az ügyintézőnek, annak a személynek nevét és pontos lakcímét, aki érdemi információval rendelkezik a hagyatékra vonatkozóan.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8. Mi a teendő, ha nem felel meg az idézés időpontja?</w:t>
            </w:r>
          </w:p>
          <w:p w:rsidR="005A0AEF" w:rsidRPr="005A0AEF" w:rsidRDefault="005A0AEF" w:rsidP="005A0A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hogy, ezt minél hamarabb jelezze az ügyintézőnek, és lehetőség van új időpont egyeztetésre.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9. Mennyi időt vesz igénybe az ügyintézés? Az ügyintézők betartják a kiküldött időpontot?</w:t>
            </w:r>
          </w:p>
          <w:p w:rsidR="005A0AEF" w:rsidRDefault="005A0AEF" w:rsidP="005A0A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ügy bonyolultságától függően (a legegyszerűbb esetben) 15 perc, de akár másfél óra is lehet. Mivel 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hozzátartozó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meghallgatásáig semmilyen adat nem áll rendelkezésünkre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elhalt hagyatékára, és az öröklésre jogosultak adataira vonatkozóan, ezért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nem áll módunkban az ügyintézés pontos idejének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meghatározása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sem.</w:t>
            </w:r>
          </w:p>
          <w:p w:rsidR="00D31EEC" w:rsidRPr="005A0AEF" w:rsidRDefault="00D31EEC" w:rsidP="005A0AE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10. Kinek jelezhetem az ügyintézéssel kapcsolatos véleményemet?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Fogadja részvétünket, és ha a hagyatéki ügyintézés során bármilyen vélt vagy valós sérelem érte, ezúton kérünk elnézést, de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hogy, véleménye kialakításakor vegye figyelembe hogy, az asztal másik oldalán ülő is csak ember, munkájában túlterhelt és egyéni gondokkal küszködő.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11. Mi a hagyatéki leltár, és mikor van rá szükség?</w:t>
            </w:r>
          </w:p>
          <w:p w:rsidR="005A0AEF" w:rsidRPr="005A0AEF" w:rsidRDefault="005A0AEF" w:rsidP="00D31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A hagyatéki leltár egy olyan  jogszabályban meghatározott 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kötött formátumú jegyzőkönyv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melynek szabatosan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tartalmaznia kell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örökhagyó személyére és vagyonára vonatkozó adatokat, továbbá mindazokat az adatokat, amelyek a hagyaték átadásához, az öröklési illeték kiszabásához és az esetleges jegyzői eljáráshoz szükségesek.</w:t>
            </w:r>
          </w:p>
          <w:p w:rsidR="005A0AEF" w:rsidRPr="005A0AEF" w:rsidRDefault="005A0AEF" w:rsidP="005A0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alapeljárásnak csak az elhalt nevéhez kötődő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‐ ingó és ingatlan 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vagyon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(rész vagy teljes tulajdonjog) 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tárgya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5A0AEF" w:rsidRPr="005A0AEF" w:rsidRDefault="005A0AEF" w:rsidP="005A0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leltár felvételére akkor is szükség van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ha csak az örökösi minőségünket akarjuk igazoltatni 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ezt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nevezik =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öröklési bizonyítványnak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(pl. bírósági perhez, az elhalt képviseletének ellátásához, stb.)</w:t>
            </w:r>
          </w:p>
          <w:p w:rsidR="005A0AEF" w:rsidRPr="005A0AEF" w:rsidRDefault="005A0AEF" w:rsidP="005A0AE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Kiegészítő eljárást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‐ helyszíni ingóságok leltározását 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csak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alábbi estekben foganatosítunk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5A0AEF" w:rsidRPr="005A0AEF" w:rsidRDefault="005A0AEF" w:rsidP="005A0A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Biztosítási intézkedésként, ha a hatóságnak nincs hozzátartozóról tudomása és a hagyatékhoz tartozó vagyontárgyak veszélyeztetve vannak.</w:t>
            </w:r>
          </w:p>
          <w:p w:rsidR="005A0AEF" w:rsidRPr="005A0AEF" w:rsidRDefault="005A0AEF" w:rsidP="005A0A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ha, a hagyatékban érintett kiskorú, gondnokság alatt álló vagy ismeretlen helyen tartózkodó érdekei veszélyeztetve vannak.</w:t>
            </w:r>
          </w:p>
          <w:p w:rsidR="005A0AEF" w:rsidRPr="005A0AEF" w:rsidRDefault="005A0AEF" w:rsidP="005A0A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Írásban benyújtott kérelemre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 az öröklésre jogosultak között vita van a hagyatéki vagyont illetően,</w:t>
            </w:r>
          </w:p>
          <w:p w:rsidR="005A0AEF" w:rsidRPr="005A0AEF" w:rsidRDefault="005A0AEF" w:rsidP="005A0AE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Vagy, ha a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hagyatéki hitelező nyújt be ilyen kérelmet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azzal a megkötéssel, hogy a várható hagyatéki vagyon értékét meghaladja az ő igénye.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12. Mi a helyzet ha, az elhalt csak személyes használati tárgyakkal, ruhaneműivel illetve 300.000,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‐Ft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érték alatti ingósággal rendelkezett?</w:t>
            </w:r>
          </w:p>
          <w:p w:rsidR="005A0AEF" w:rsidRPr="005A0AEF" w:rsidRDefault="005A0AEF" w:rsidP="005A0AE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Ebben az esetben is nyilatkozattételi kötelezettsége van a hozzátartozónak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,de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nincs szükség a hagyaték közjegyző általi átadására.</w:t>
            </w:r>
          </w:p>
          <w:p w:rsidR="005A0AEF" w:rsidRPr="005A0AEF" w:rsidRDefault="005A0AEF" w:rsidP="005A0AE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Ennek eleget tehet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az értesítő levéllel kiküldött  vagy a honlapról letöltött nemleges nyilatkozat kitöltésével és visszajuttatásával.</w:t>
            </w:r>
          </w:p>
          <w:p w:rsidR="005A0AEF" w:rsidRPr="005A0AEF" w:rsidRDefault="005A0AEF" w:rsidP="005A0AE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nemleges nyilatkozat alapján lezárásra kerül az eljárás.</w:t>
            </w:r>
          </w:p>
          <w:p w:rsidR="005A0AEF" w:rsidRPr="005A0AEF" w:rsidRDefault="005A0AEF" w:rsidP="00D31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br/>
              <w:t>13. Miért lényeges, hogy az öröklésre jogosultak között van‐e méhmagzat, kiskorú, gondnokolt vagy ismeretlen helyen tartózkodó?</w:t>
            </w:r>
          </w:p>
          <w:p w:rsidR="005A0AEF" w:rsidRPr="005A0AEF" w:rsidRDefault="005A0AEF" w:rsidP="005A0AE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Magyar Állam hogy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 Alkotmányban  mint alaptörvényben ‐ megfogalmazott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emberi és állampolgári jogok érvényesítésére esélyegyenlőséget biztosítson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azok számára, akik érdekeik képviselése szempontjából hátrányos helyzetű csoportot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képeznek (mint a kérdésben felsoroltak), pozitív diszkriminációként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külön jogszabályokkal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családjogi‐, gyermekvédelmi törvény, stb.)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védi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ezen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polgárait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5A0AEF" w:rsidRPr="005A0AEF" w:rsidRDefault="005A0AEF" w:rsidP="005A0AE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hagyatéki eljárásban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 úgy jut érvényre, hogy ha az öröklésre jogosultak között méhmagzat, kiskorú, gondnokolt, vagy ismeretlen helyen tartózkodó van,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akkor az örökhagyó ingóságait is leltározni kell,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sőt ha ilyen esetben érdekellentét is fenn áll, akkor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helyszíni ingó leltár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kitűzésére is sor kerül.</w:t>
            </w:r>
          </w:p>
          <w:p w:rsidR="005A0AEF" w:rsidRPr="005A0AEF" w:rsidRDefault="005A0AEF" w:rsidP="005A0AE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Valamint,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ha a védett csoportba tartozó, és a törvényes képviselője között áll fenn érdekellentét, akkor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ügygondnok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bevonása is szükséges az eljárásba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Ügygondnok közreműködése szükséges akkor is, ha nincs törvényes képviselője az említetteknek.</w:t>
            </w:r>
          </w:p>
          <w:p w:rsidR="005A0AEF" w:rsidRPr="005A0AEF" w:rsidRDefault="005A0AEF" w:rsidP="005A0AE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ügygondnok kijelölése hivatalból történik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(gyámhivatali hatáskör),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eljárásban való részvétele általában a közjegyzői eljárásra terjed ki.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14. Mit tegyek, ha tartozott nekem az elhalt?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br/>
              <w:t>vagy Köteles vagyok‐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az elhalt tartozását megörökölni?</w:t>
            </w:r>
          </w:p>
          <w:p w:rsidR="005A0AEF" w:rsidRPr="005A0AEF" w:rsidRDefault="005A0AEF" w:rsidP="005A0AE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örökös a hagyatéki tartozásokért a hagyaték tárgyaival és azok hasznaival felel a hitelezőnek. Ha a követelés érvényesítésekor a hagyaték tárgyai vagy hasznai nincsenek az örökös birtokában, az örökös öröksége erejéig egyéb vagyonával is felel.</w:t>
            </w:r>
          </w:p>
          <w:p w:rsidR="005A0AEF" w:rsidRPr="005A0AEF" w:rsidRDefault="005A0AEF" w:rsidP="005A0AE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örökös – több örökös esetén egyetemlegesen – a hagyatéki költségekért és a hagyatéki eljárás költségeiért saját vagyonával is felel.</w:t>
            </w:r>
          </w:p>
          <w:p w:rsidR="005A0AEF" w:rsidRPr="005A0AEF" w:rsidRDefault="005A0AEF" w:rsidP="005A0AE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Fentiek alapján, ha az elhaltnak ön felé ki nem elégített tartozása van, akkor írásban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kell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ezt az igényét jelezni a hivatalunk felé ezt nevezik hagyatéki hitelezői igénynek.</w:t>
            </w:r>
          </w:p>
          <w:p w:rsidR="005A0AEF" w:rsidRPr="005A0AEF" w:rsidRDefault="005A0AEF" w:rsidP="005A0AE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hozzátartozó ezt az igényt a hagyatéki tárgyalás alkalmával elismeri, vagy továbbiakban polgári peres eljárás keretein belül tisztázzák az igény jogosultságát.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15. Ki értékeli fel az elhalt ingatlanát, és kell‐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érte fizetni?</w:t>
            </w:r>
          </w:p>
          <w:p w:rsidR="005A0AEF" w:rsidRPr="005A0AEF" w:rsidRDefault="005A0AEF" w:rsidP="007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hagyatékban érintett ingatlanokban az örökhagyó tulajdoni részarányának felértékelését Adó‐ értékbizonyítvány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elkészítését ‐ ,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ingatlan fekvése szerint illetékes önkormányzat erre kijelölt ügyintézője végzi.</w:t>
            </w:r>
          </w:p>
          <w:p w:rsidR="005A0AEF" w:rsidRPr="005A0AEF" w:rsidRDefault="005A0AEF" w:rsidP="005A0AE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értékelés hivatalból történik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hagyatéki vagyon tisztázása érdekében.</w:t>
            </w:r>
          </w:p>
          <w:p w:rsidR="005A0AEF" w:rsidRPr="005A0AEF" w:rsidRDefault="005A0AEF" w:rsidP="005A0AE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eljárásnak ez a része díj‐ és illetékmentes.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16. Ki lesz a közjegyző?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közjegyzők illetékességét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‐ a 15/1991. (XI.26.) IM rendelet alapján 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az elhalálozás hónapja határozza meg.</w:t>
            </w:r>
          </w:p>
          <w:p w:rsidR="005A0AEF" w:rsidRPr="005A0AEF" w:rsidRDefault="00775DB4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Dunaújvárosban   3</w:t>
            </w:r>
            <w:proofErr w:type="gramEnd"/>
            <w:r w:rsidR="005A0AEF"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közjegyzői iroda működik, az alábbiak szerint:</w:t>
            </w:r>
          </w:p>
          <w:p w:rsidR="005A0AEF" w:rsidRPr="005A0AEF" w:rsidRDefault="005A0AEF" w:rsidP="005A0AE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Január </w:t>
            </w:r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,</w:t>
            </w:r>
            <w:proofErr w:type="gramEnd"/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április  , július  és   október 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hónapban elhaltak tekintetében:</w:t>
            </w:r>
          </w:p>
          <w:p w:rsidR="00775DB4" w:rsidRDefault="005A0AEF" w:rsidP="00775DB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Szabó Anita 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gramStart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2400   Dunaújváros</w:t>
            </w:r>
            <w:proofErr w:type="gramEnd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Dózsa </w:t>
            </w:r>
            <w:proofErr w:type="spellStart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u. 4/C.</w:t>
            </w:r>
          </w:p>
          <w:p w:rsidR="005A0AEF" w:rsidRPr="00775DB4" w:rsidRDefault="00775DB4" w:rsidP="00775DB4">
            <w:pPr>
              <w:pStyle w:val="Listaszerbekezds"/>
              <w:numPr>
                <w:ilvl w:val="0"/>
                <w:numId w:val="36"/>
              </w:num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lastRenderedPageBreak/>
              <w:t>március ,</w:t>
            </w:r>
            <w:proofErr w:type="gramEnd"/>
            <w:r w:rsidRP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június  , szeptember   és december  </w:t>
            </w:r>
            <w:r w:rsidR="005A0AEF" w:rsidRP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hónapban elhaltak tekintetében:</w:t>
            </w:r>
          </w:p>
          <w:p w:rsidR="00775DB4" w:rsidRDefault="005A0AEF" w:rsidP="00775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Eszenyi Zoltán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2400 Dunaújváros Erkel kert 7.1/2.</w:t>
            </w:r>
          </w:p>
          <w:p w:rsidR="005A0AEF" w:rsidRPr="00775DB4" w:rsidRDefault="00775DB4" w:rsidP="00775DB4">
            <w:pPr>
              <w:pStyle w:val="Listaszerbekezds"/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február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május  , augusztus  és november  </w:t>
            </w:r>
            <w:r w:rsidR="005A0AEF" w:rsidRP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hónapban elhaltak tekintetében: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Rendeki</w:t>
            </w:r>
            <w:proofErr w:type="spellEnd"/>
            <w:r w:rsidR="0077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Magdolna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2400 </w:t>
            </w:r>
            <w:proofErr w:type="gramStart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Dunaújváros  Vasmű</w:t>
            </w:r>
            <w:proofErr w:type="gramEnd"/>
            <w:r w:rsidR="00775D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39.3/3.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17. Hol tehetek észrevételt a közjegyzői eljárással kapcsolatosan?</w:t>
            </w:r>
          </w:p>
          <w:p w:rsidR="005A0AEF" w:rsidRPr="005A0AEF" w:rsidRDefault="005A0AEF" w:rsidP="007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Magyar Országos Közjegyzői Kamara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1026 Budapest, Pasaréti u. 16.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Levelezési cím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1535 Budapest, Pf.:836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(1) 489‐4880; </w:t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fax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(1) 356‐7052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0A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E‐mail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hyperlink r:id="rId7" w:history="1">
              <w:r w:rsidRPr="005A0A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mokk@mokk.hu</w:t>
              </w:r>
            </w:hyperlink>
          </w:p>
          <w:p w:rsidR="005A0AEF" w:rsidRPr="005A0AEF" w:rsidRDefault="005A0AEF" w:rsidP="005A0AE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Örökölni törvény vagy végintézkedés alapján lehet. 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az örökhagyó után végintézkedés maradt, az öröklés rendjét ez határozza meg. Végintézkedés hiányában az öröklés rendjére a Polgári Törvénykönyv rendelkezései az irányadók. Ha más örökös nincs, vagy az öröklésre jogosultak visszautasítják az örökséget, a hagyaték az államra száll, vagyis a Magyar Állam lesz a törvényes örökös.</w:t>
            </w:r>
          </w:p>
          <w:p w:rsidR="005A0AEF" w:rsidRPr="005A0AEF" w:rsidRDefault="005A0AEF" w:rsidP="005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törvényes öröklés rendjét</w:t>
            </w:r>
          </w:p>
          <w:p w:rsidR="005A0AEF" w:rsidRPr="005A0AEF" w:rsidRDefault="005A0AEF" w:rsidP="005A0AE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2014. március 15. előtt elhaltak esetében a Polgári Törvénykönyv (Ptk.) szabályozza: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 örökös elsősorban az örökhagyó gyermeke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nincs leszármazó, akkor a házastárs örököl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Leszármazók és házastárs hiányában az örökhagyó szülői örökölnek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Leszármazóknak és házastársnak, szülőknek és szülők leszármazóinak hiányában, törvényes örökösök az örökhagyó nagyszülői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sem az örökhagyó nagyszülője, sem a nagyszülőktől leszármazó nem örökölhet, törvényes örökösök az örökhagyó távolabbi felmenői</w:t>
            </w:r>
          </w:p>
          <w:p w:rsidR="005A0AEF" w:rsidRPr="005A0AEF" w:rsidRDefault="005A0AEF" w:rsidP="005A0A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más örökös </w:t>
            </w:r>
            <w:proofErr w:type="gramStart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  <w:proofErr w:type="gramEnd"/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hagyaték az államra száll.</w:t>
            </w:r>
          </w:p>
          <w:p w:rsidR="005A0AEF" w:rsidRPr="005A0AEF" w:rsidRDefault="005A0AEF" w:rsidP="007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2014. március 15. után elhaltak esetében az </w:t>
            </w:r>
            <w:proofErr w:type="spellStart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újPtk</w:t>
            </w:r>
            <w:proofErr w:type="spellEnd"/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szerint: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Törvényes öröklés általános rendje a Polgári törvénykönyvről szóló 2013. évi V. törvény (új Ptk.) szerint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002"/>
              <w:gridCol w:w="3509"/>
              <w:gridCol w:w="2966"/>
            </w:tblGrid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Az örökösök köre: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az öröklés: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megjegyzés:</w:t>
                  </w: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leszármazók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teljes hagyatékra kiterjed, házastárs hiánya vagy kiesése esetén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házastárs öröklése leszármazók mellett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házastársat megillető rész: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holtig tartó haszonélvezeti jog az </w:t>
                  </w:r>
                  <w:proofErr w:type="spell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öh-val</w:t>
                  </w:r>
                  <w:proofErr w:type="spell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közösen lakott lakáson és a hozzátartozó berendezési és felszerelési tárgyakon,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egy gyermekrész a hagyaték többi részéből;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a haszonélvezeti jog nem korlátozható, és a házastárssal szemben megváltása nem igényelhető;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osztályos egyezségben a házastársat megillető gyermekrész haszonélvezeti joggal kiváltható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házastárs kiesése: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ha az örökség megnyílta kor: már nem él, vagy a házastársak között nem állt fenn az életközösség, és annak visszaállítására nem volt kilátás;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a kiesésre az hivatkozhat, aki a kiesés folytán maga örökölne, vagy reá rótt kötelezettségtől mentesülne</w:t>
                  </w: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házastárs öröklése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szülő mellett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házastársat megillető rész: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az </w:t>
                  </w:r>
                  <w:proofErr w:type="spell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öh-val</w:t>
                  </w:r>
                  <w:proofErr w:type="spell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közösen lakott lakás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 hozzátartozó berendezési és felszerelési tárgyak 1/1-ben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a hagyaték többi részének 1/2-e (másik 1/2-re a szülők fejenként egyenlő arányban)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az öröklésből kiesett szülő része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IV.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házastárs egyedüli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teljes egészében örököl, ha: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leszármazó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nincs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vagy nem örökölhet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szülő kiesése folytán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nincs ági vagyon, ill. ági örökös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szülő és a szülő leszármazójának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teljes egészében örökölnek fejenként egyenlő aranyban, ha: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leszármazó és házastárs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nincs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vagy nem örökölhet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szülő kiesése folytán - az őt megillető részre - a leszármazói egyenlő arányban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 a kiesett szülőnek leszármazója nincs, vagy nem örökölhet: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egyedül a másik szülő, vagy annak leszármazói örökölnek</w:t>
                  </w: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nagyszülő és a nagyszülő leszármazójának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teljes egészében örökölnek fejenként egyenlő aranyban, ha: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leszármazó, házastárs, szülő és szülőtől leszármazó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nincs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vagy nem örökölhet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nagyszülő kiesése folytán - az őt megillető részre - a leszármazói egyenlő arányban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 a kiesett nagyszülőnek leszármazója nincs, vagy nem örökölhet: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helyette nagyszülőpárja, ha ő is kiesett, akkor leszármazója örököl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nagyszülőpár kiesése esetén a másik nagyszülőpár, vagy leszármazójuk</w:t>
                  </w: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dédszülő és a dédszülő leszármazójának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teljes egészében örökölnek fejenként egyenlő aranyban, ha: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leszármazó, házastárs, szülő és szülőtől leszármazó,nagyszülő és nagyszülőtől leszármazó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nincs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vagy nem örökölhet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dédszülő kiesése folytán - az őt megillető részre - a leszármazói egyenlő arányban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ha a kiesett dédszülőnek leszármazója nincs, vagy nem örökölhet: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helyette dédszülőpárja, ha ő is kiesett, akkor leszármazója 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örököl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- dédszülőpár kiesése esetén a többi dédszülőpár, vagy leszármazójuk</w:t>
                  </w: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VIII.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távolabbi felmenők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teljes egészében örökölnek fejenként egyenlő aranyban, ha:</w:t>
                  </w: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- dédszülő és dédszülőtől leszármazó </w:t>
                  </w:r>
                  <w:proofErr w:type="gramStart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nincs</w:t>
                  </w:r>
                  <w:proofErr w:type="gramEnd"/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vagy nem örökölhet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A0AEF" w:rsidRPr="005A0AE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IX.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az állam szükségképpeni öröklése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más örökös hiányában az állam a törvényes örökös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0AEF" w:rsidRPr="005A0AEF" w:rsidRDefault="005A0AEF" w:rsidP="005A0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0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 illeti meg az örökség visszautasításának joga</w:t>
                  </w:r>
                </w:p>
              </w:tc>
            </w:tr>
          </w:tbl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20. Mi az ági öröklés?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Ági öröklésről akkor beszélünk:</w:t>
            </w:r>
          </w:p>
          <w:p w:rsidR="005A0AEF" w:rsidRPr="005A0AEF" w:rsidRDefault="005A0AEF" w:rsidP="005A0AE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 nem az örökhagyó leszármazója a törvényes örökös, és az örökhagyóra valamelyik felmenőjéről öröklés vagy ingyenes juttatás útján hárult vagyontárgy ági öröklés alá esik.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Ági öröklésnek van helye testvértől vagy a testvér leszármazójától örökölt vagy ingyenesen szerzett vagyontárgyra is, ha a vagyontárgyat a testvér vagy a testvér leszármazója az örökhagyóval közös felmenőjétől örökölte vagy ingyenesen kapta. A szülő örökli azokat a vagyontárgyakat, amelyek róla vagy felmenőjéről hárultak az örökhagyóra. A kieső szülő helyén leszármazói a törvényes öröklés általános szabályai szerint örökölnek.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Fontos lehet: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Kisajátítási kártalanítás, földrendezés vagy áttelepítés során, csere címén juttatott ingatlan akkor sem ági jellegű, ha az eredeti ingatlan az volt. 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vagyontárgy ági jellegét annak kell bizonyítania, aki arra ezen a címen öröklési igényt támaszt.</w:t>
            </w:r>
          </w:p>
          <w:p w:rsidR="005A0AEF" w:rsidRPr="005A0AEF" w:rsidRDefault="005A0AEF" w:rsidP="005A0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21. Mit tehetek, ha kihagytak az öröklésre jogosultak közül?</w:t>
            </w:r>
          </w:p>
          <w:p w:rsidR="005A0AEF" w:rsidRPr="005A0AEF" w:rsidRDefault="005A0AEF" w:rsidP="005A0AE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hagyatéki végzés jogerőre emelkedésétől számított 1 éven belül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az illetékes közjegyzőnél kezdeményezheti a hagyatéki végzés hatályon kívül helyezését, és a hagyaték újra tárgyalását.</w:t>
            </w:r>
          </w:p>
          <w:p w:rsidR="005A0AEF" w:rsidRPr="005A0AEF" w:rsidRDefault="005A0AEF" w:rsidP="005A0AE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éven túl</w:t>
            </w: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polgári peres úton érvényesítheti igényét.</w:t>
            </w:r>
          </w:p>
          <w:p w:rsidR="005A0AEF" w:rsidRPr="005A0AEF" w:rsidRDefault="005A0AEF" w:rsidP="00775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5A0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22. Mit tehetek, ha az eljárással kapcsolatosan még van kérdésem?</w:t>
            </w:r>
          </w:p>
          <w:p w:rsidR="005A0AEF" w:rsidRPr="005A0AEF" w:rsidRDefault="005A0AEF" w:rsidP="009D5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Forduljon bizalommal hivatalunk hagyatéki ügyintézőihez, akár ügyfélfogadási időben személyesen, vagy  munkaidőben telefonon, illetve e‐mailben.</w:t>
            </w:r>
          </w:p>
        </w:tc>
      </w:tr>
    </w:tbl>
    <w:p w:rsidR="00D02AF1" w:rsidRDefault="005A0AEF">
      <w:r w:rsidRPr="005A0AE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sectPr w:rsidR="00D0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72"/>
    <w:multiLevelType w:val="multilevel"/>
    <w:tmpl w:val="789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7F99"/>
    <w:multiLevelType w:val="multilevel"/>
    <w:tmpl w:val="BC3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05AA"/>
    <w:multiLevelType w:val="multilevel"/>
    <w:tmpl w:val="D9D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669AB"/>
    <w:multiLevelType w:val="multilevel"/>
    <w:tmpl w:val="099C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4284A"/>
    <w:multiLevelType w:val="multilevel"/>
    <w:tmpl w:val="AE6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356FC"/>
    <w:multiLevelType w:val="multilevel"/>
    <w:tmpl w:val="9E1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113FC"/>
    <w:multiLevelType w:val="multilevel"/>
    <w:tmpl w:val="631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15E"/>
    <w:multiLevelType w:val="multilevel"/>
    <w:tmpl w:val="A14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8309F"/>
    <w:multiLevelType w:val="multilevel"/>
    <w:tmpl w:val="242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B7AEF"/>
    <w:multiLevelType w:val="multilevel"/>
    <w:tmpl w:val="E64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820B3"/>
    <w:multiLevelType w:val="multilevel"/>
    <w:tmpl w:val="3A50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250B9"/>
    <w:multiLevelType w:val="multilevel"/>
    <w:tmpl w:val="07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211CA"/>
    <w:multiLevelType w:val="multilevel"/>
    <w:tmpl w:val="622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A7814"/>
    <w:multiLevelType w:val="multilevel"/>
    <w:tmpl w:val="CC06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E7F0B"/>
    <w:multiLevelType w:val="multilevel"/>
    <w:tmpl w:val="5C20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D06DE"/>
    <w:multiLevelType w:val="multilevel"/>
    <w:tmpl w:val="650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927FA"/>
    <w:multiLevelType w:val="multilevel"/>
    <w:tmpl w:val="D44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D3FD4"/>
    <w:multiLevelType w:val="multilevel"/>
    <w:tmpl w:val="DBE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B277F"/>
    <w:multiLevelType w:val="multilevel"/>
    <w:tmpl w:val="F2F6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17530"/>
    <w:multiLevelType w:val="multilevel"/>
    <w:tmpl w:val="E3E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71344"/>
    <w:multiLevelType w:val="multilevel"/>
    <w:tmpl w:val="B1F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139B5"/>
    <w:multiLevelType w:val="multilevel"/>
    <w:tmpl w:val="18F4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C0842"/>
    <w:multiLevelType w:val="multilevel"/>
    <w:tmpl w:val="DB50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479B5"/>
    <w:multiLevelType w:val="multilevel"/>
    <w:tmpl w:val="E320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92BDF"/>
    <w:multiLevelType w:val="multilevel"/>
    <w:tmpl w:val="7FB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33F5D"/>
    <w:multiLevelType w:val="multilevel"/>
    <w:tmpl w:val="19E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F042C"/>
    <w:multiLevelType w:val="multilevel"/>
    <w:tmpl w:val="898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6E1989"/>
    <w:multiLevelType w:val="multilevel"/>
    <w:tmpl w:val="A3C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E3942"/>
    <w:multiLevelType w:val="multilevel"/>
    <w:tmpl w:val="CC4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96830"/>
    <w:multiLevelType w:val="multilevel"/>
    <w:tmpl w:val="8FB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04731"/>
    <w:multiLevelType w:val="multilevel"/>
    <w:tmpl w:val="C296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34CFD"/>
    <w:multiLevelType w:val="multilevel"/>
    <w:tmpl w:val="A4B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313A0"/>
    <w:multiLevelType w:val="multilevel"/>
    <w:tmpl w:val="11B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166AD"/>
    <w:multiLevelType w:val="multilevel"/>
    <w:tmpl w:val="895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6056B"/>
    <w:multiLevelType w:val="multilevel"/>
    <w:tmpl w:val="174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21CC7"/>
    <w:multiLevelType w:val="hybridMultilevel"/>
    <w:tmpl w:val="F9AA9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15"/>
  </w:num>
  <w:num w:numId="5">
    <w:abstractNumId w:val="26"/>
  </w:num>
  <w:num w:numId="6">
    <w:abstractNumId w:val="12"/>
  </w:num>
  <w:num w:numId="7">
    <w:abstractNumId w:val="25"/>
  </w:num>
  <w:num w:numId="8">
    <w:abstractNumId w:val="11"/>
  </w:num>
  <w:num w:numId="9">
    <w:abstractNumId w:val="17"/>
  </w:num>
  <w:num w:numId="10">
    <w:abstractNumId w:val="30"/>
  </w:num>
  <w:num w:numId="11">
    <w:abstractNumId w:val="32"/>
  </w:num>
  <w:num w:numId="12">
    <w:abstractNumId w:val="27"/>
  </w:num>
  <w:num w:numId="13">
    <w:abstractNumId w:val="2"/>
  </w:num>
  <w:num w:numId="14">
    <w:abstractNumId w:val="28"/>
  </w:num>
  <w:num w:numId="15">
    <w:abstractNumId w:val="3"/>
  </w:num>
  <w:num w:numId="16">
    <w:abstractNumId w:val="10"/>
  </w:num>
  <w:num w:numId="17">
    <w:abstractNumId w:val="19"/>
  </w:num>
  <w:num w:numId="18">
    <w:abstractNumId w:val="23"/>
  </w:num>
  <w:num w:numId="19">
    <w:abstractNumId w:val="0"/>
  </w:num>
  <w:num w:numId="20">
    <w:abstractNumId w:val="18"/>
  </w:num>
  <w:num w:numId="21">
    <w:abstractNumId w:val="20"/>
  </w:num>
  <w:num w:numId="22">
    <w:abstractNumId w:val="6"/>
  </w:num>
  <w:num w:numId="23">
    <w:abstractNumId w:val="1"/>
  </w:num>
  <w:num w:numId="24">
    <w:abstractNumId w:val="22"/>
  </w:num>
  <w:num w:numId="25">
    <w:abstractNumId w:val="33"/>
  </w:num>
  <w:num w:numId="26">
    <w:abstractNumId w:val="21"/>
  </w:num>
  <w:num w:numId="27">
    <w:abstractNumId w:val="9"/>
  </w:num>
  <w:num w:numId="28">
    <w:abstractNumId w:val="34"/>
  </w:num>
  <w:num w:numId="29">
    <w:abstractNumId w:val="24"/>
  </w:num>
  <w:num w:numId="30">
    <w:abstractNumId w:val="5"/>
  </w:num>
  <w:num w:numId="31">
    <w:abstractNumId w:val="31"/>
  </w:num>
  <w:num w:numId="32">
    <w:abstractNumId w:val="14"/>
  </w:num>
  <w:num w:numId="33">
    <w:abstractNumId w:val="16"/>
  </w:num>
  <w:num w:numId="34">
    <w:abstractNumId w:val="4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A5"/>
    <w:rsid w:val="001241CA"/>
    <w:rsid w:val="002634A5"/>
    <w:rsid w:val="003A4710"/>
    <w:rsid w:val="005A0AEF"/>
    <w:rsid w:val="005B538C"/>
    <w:rsid w:val="00775DB4"/>
    <w:rsid w:val="00890E85"/>
    <w:rsid w:val="00891132"/>
    <w:rsid w:val="008D2BF0"/>
    <w:rsid w:val="009D5CDA"/>
    <w:rsid w:val="009F4F5F"/>
    <w:rsid w:val="00A23CBF"/>
    <w:rsid w:val="00D02AF1"/>
    <w:rsid w:val="00D31EEC"/>
    <w:rsid w:val="00D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E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1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1E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k@mok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roshaza.nyiregyhaza.hu/lib/igazgatas/igazgatas/160503_hagyateki_tajekoztat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3328</Words>
  <Characters>22968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Neo Grafika</cp:lastModifiedBy>
  <cp:revision>2</cp:revision>
  <dcterms:created xsi:type="dcterms:W3CDTF">2018-02-17T12:51:00Z</dcterms:created>
  <dcterms:modified xsi:type="dcterms:W3CDTF">2018-02-17T12:51:00Z</dcterms:modified>
</cp:coreProperties>
</file>